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119" w:rsidRDefault="00FA2937">
      <w:pPr>
        <w:tabs>
          <w:tab w:val="left" w:pos="790"/>
        </w:tabs>
        <w:overflowPunct w:val="0"/>
        <w:adjustRightInd w:val="0"/>
        <w:snapToGrid w:val="0"/>
        <w:jc w:val="center"/>
        <w:rPr>
          <w:rFonts w:ascii="方正小标宋简体" w:eastAsia="方正小标宋简体" w:hAnsi="宋体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kern w:val="0"/>
          <w:sz w:val="44"/>
          <w:szCs w:val="44"/>
        </w:rPr>
        <w:t>学校食堂食品安全自查表</w:t>
      </w:r>
    </w:p>
    <w:p w:rsidR="00784119" w:rsidRDefault="00784119">
      <w:pPr>
        <w:tabs>
          <w:tab w:val="left" w:pos="790"/>
        </w:tabs>
        <w:overflowPunct w:val="0"/>
        <w:adjustRightInd w:val="0"/>
        <w:snapToGrid w:val="0"/>
        <w:spacing w:line="360" w:lineRule="auto"/>
        <w:rPr>
          <w:rFonts w:hAnsi="宋体"/>
          <w:kern w:val="0"/>
          <w:sz w:val="22"/>
          <w:szCs w:val="22"/>
        </w:rPr>
      </w:pPr>
    </w:p>
    <w:p w:rsidR="00784119" w:rsidRDefault="00FA2937" w:rsidP="007C63A6">
      <w:pPr>
        <w:tabs>
          <w:tab w:val="left" w:pos="4536"/>
          <w:tab w:val="left" w:pos="5954"/>
        </w:tabs>
        <w:adjustRightInd w:val="0"/>
        <w:snapToGrid w:val="0"/>
        <w:spacing w:line="36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>单位名称：</w:t>
      </w:r>
      <w:r>
        <w:rPr>
          <w:rFonts w:hint="eastAsia"/>
          <w:sz w:val="22"/>
          <w:szCs w:val="22"/>
          <w:u w:val="single"/>
        </w:rPr>
        <w:t xml:space="preserve">　</w:t>
      </w:r>
      <w:r w:rsidR="007C63A6">
        <w:rPr>
          <w:rFonts w:hint="eastAsia"/>
          <w:sz w:val="22"/>
          <w:szCs w:val="22"/>
          <w:u w:val="single"/>
        </w:rPr>
        <w:t>上海市普陀区梅陇实验中学</w:t>
      </w:r>
      <w:r>
        <w:rPr>
          <w:rFonts w:hint="eastAsia"/>
          <w:sz w:val="22"/>
          <w:szCs w:val="22"/>
          <w:u w:val="single"/>
        </w:rPr>
        <w:t xml:space="preserve">　 </w:t>
      </w:r>
      <w:r>
        <w:rPr>
          <w:rFonts w:hint="eastAsia"/>
          <w:sz w:val="22"/>
          <w:szCs w:val="22"/>
        </w:rPr>
        <w:t xml:space="preserve"> 自查时间：</w:t>
      </w:r>
      <w:r>
        <w:rPr>
          <w:rFonts w:hint="eastAsia"/>
          <w:sz w:val="22"/>
          <w:szCs w:val="22"/>
          <w:u w:val="single"/>
        </w:rPr>
        <w:t xml:space="preserve">　</w:t>
      </w:r>
      <w:r w:rsidR="00DF737C">
        <w:rPr>
          <w:rFonts w:hint="eastAsia"/>
          <w:sz w:val="22"/>
          <w:szCs w:val="22"/>
          <w:u w:val="single"/>
        </w:rPr>
        <w:t>2</w:t>
      </w:r>
      <w:r w:rsidR="00DF737C">
        <w:rPr>
          <w:sz w:val="22"/>
          <w:szCs w:val="22"/>
          <w:u w:val="single"/>
        </w:rPr>
        <w:t>02</w:t>
      </w:r>
      <w:r w:rsidR="00861FA0">
        <w:rPr>
          <w:sz w:val="22"/>
          <w:szCs w:val="22"/>
          <w:u w:val="single"/>
        </w:rPr>
        <w:t>6</w:t>
      </w:r>
      <w:r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  <w:u w:val="single"/>
        </w:rPr>
        <w:t xml:space="preserve">　</w:t>
      </w:r>
      <w:r w:rsidR="00405BEF">
        <w:rPr>
          <w:sz w:val="22"/>
          <w:szCs w:val="22"/>
          <w:u w:val="single"/>
        </w:rPr>
        <w:t>8</w:t>
      </w:r>
      <w:r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  <w:u w:val="single"/>
        </w:rPr>
        <w:t xml:space="preserve">　</w:t>
      </w:r>
      <w:r w:rsidR="00405BEF">
        <w:rPr>
          <w:sz w:val="22"/>
          <w:szCs w:val="22"/>
          <w:u w:val="single"/>
        </w:rPr>
        <w:t>22</w:t>
      </w:r>
      <w:r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</w:rPr>
        <w:t>日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5447"/>
        <w:gridCol w:w="793"/>
        <w:gridCol w:w="793"/>
        <w:gridCol w:w="793"/>
      </w:tblGrid>
      <w:tr w:rsidR="00784119">
        <w:trPr>
          <w:cantSplit/>
          <w:trHeight w:val="624"/>
          <w:tblHeader/>
          <w:jc w:val="center"/>
        </w:trPr>
        <w:tc>
          <w:tcPr>
            <w:tcW w:w="1019" w:type="dxa"/>
            <w:vAlign w:val="center"/>
          </w:tcPr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ascii="黑体" w:eastAsia="黑体" w:hAnsi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hint="eastAsia"/>
                <w:kern w:val="0"/>
                <w:sz w:val="22"/>
                <w:szCs w:val="22"/>
              </w:rPr>
              <w:t>检查</w:t>
            </w:r>
          </w:p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ascii="黑体" w:eastAsia="黑体" w:hAnsi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hint="eastAsia"/>
                <w:kern w:val="0"/>
                <w:sz w:val="22"/>
                <w:szCs w:val="22"/>
              </w:rPr>
              <w:t>内容</w:t>
            </w:r>
          </w:p>
        </w:tc>
        <w:tc>
          <w:tcPr>
            <w:tcW w:w="5447" w:type="dxa"/>
            <w:vAlign w:val="center"/>
          </w:tcPr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rPr>
                <w:rFonts w:ascii="黑体" w:eastAsia="黑体" w:hAnsi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hint="eastAsia"/>
                <w:kern w:val="0"/>
                <w:sz w:val="22"/>
                <w:szCs w:val="22"/>
              </w:rPr>
              <w:t>检查项目</w:t>
            </w:r>
          </w:p>
        </w:tc>
        <w:tc>
          <w:tcPr>
            <w:tcW w:w="793" w:type="dxa"/>
            <w:vAlign w:val="center"/>
          </w:tcPr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ascii="黑体" w:eastAsia="黑体" w:hAnsi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hint="eastAsia"/>
                <w:kern w:val="0"/>
                <w:sz w:val="22"/>
                <w:szCs w:val="22"/>
              </w:rPr>
              <w:t>是否</w:t>
            </w:r>
          </w:p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ascii="黑体" w:eastAsia="黑体" w:hAnsi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hint="eastAsia"/>
                <w:kern w:val="0"/>
                <w:sz w:val="22"/>
                <w:szCs w:val="22"/>
              </w:rPr>
              <w:t>符合</w:t>
            </w:r>
          </w:p>
        </w:tc>
        <w:tc>
          <w:tcPr>
            <w:tcW w:w="793" w:type="dxa"/>
            <w:vAlign w:val="center"/>
          </w:tcPr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ind w:left="-57" w:right="-57"/>
              <w:jc w:val="center"/>
              <w:rPr>
                <w:rFonts w:ascii="黑体" w:eastAsia="黑体" w:hAnsi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hint="eastAsia"/>
                <w:kern w:val="0"/>
                <w:sz w:val="22"/>
                <w:szCs w:val="22"/>
              </w:rPr>
              <w:t>未检查</w:t>
            </w:r>
          </w:p>
        </w:tc>
        <w:tc>
          <w:tcPr>
            <w:tcW w:w="793" w:type="dxa"/>
            <w:vAlign w:val="center"/>
          </w:tcPr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ind w:left="-57" w:right="-57"/>
              <w:jc w:val="center"/>
              <w:rPr>
                <w:rFonts w:ascii="黑体" w:eastAsia="黑体" w:hAnsi="黑体"/>
                <w:kern w:val="0"/>
                <w:sz w:val="22"/>
                <w:szCs w:val="22"/>
              </w:rPr>
            </w:pPr>
            <w:r>
              <w:rPr>
                <w:rFonts w:ascii="黑体" w:eastAsia="黑体" w:hAnsi="黑体" w:hint="eastAsia"/>
                <w:kern w:val="0"/>
                <w:sz w:val="22"/>
                <w:szCs w:val="22"/>
              </w:rPr>
              <w:t>不适用</w:t>
            </w:r>
          </w:p>
        </w:tc>
      </w:tr>
      <w:tr w:rsidR="00784119">
        <w:trPr>
          <w:cantSplit/>
          <w:trHeight w:val="595"/>
          <w:jc w:val="center"/>
        </w:trPr>
        <w:tc>
          <w:tcPr>
            <w:tcW w:w="1019" w:type="dxa"/>
            <w:vMerge w:val="restart"/>
            <w:vAlign w:val="center"/>
          </w:tcPr>
          <w:p w:rsidR="00784119" w:rsidRDefault="00FA2937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1．许可管理</w:t>
            </w:r>
          </w:p>
        </w:tc>
        <w:tc>
          <w:tcPr>
            <w:tcW w:w="5447" w:type="dxa"/>
            <w:vAlign w:val="center"/>
          </w:tcPr>
          <w:p w:rsidR="00784119" w:rsidRDefault="00FA2937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1.1按照有效《食品经营许可证》载明的经营地址、经营业态类别、经营项目加工供应食品。</w:t>
            </w:r>
          </w:p>
        </w:tc>
        <w:tc>
          <w:tcPr>
            <w:tcW w:w="793" w:type="dxa"/>
            <w:vAlign w:val="center"/>
          </w:tcPr>
          <w:p w:rsidR="00784119" w:rsidRPr="00DF737C" w:rsidRDefault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DF737C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784119" w:rsidRDefault="00784119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784119" w:rsidRDefault="00784119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1.2</w:t>
            </w:r>
            <w:r>
              <w:rPr>
                <w:rFonts w:hint="eastAsia"/>
                <w:spacing w:val="-8"/>
                <w:sz w:val="22"/>
                <w:szCs w:val="22"/>
              </w:rPr>
              <w:t>食品经营许可证和量化等级公示牌悬挂或摆放醒目处。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1.3核定的加工经营场所面积、布局流程和使用功能等生产经营条件未发生变化。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2、主体责任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2.1将食品安全工作纳入学校年度重点工作任务，建立食品安全校长（园长）负责制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2.2是否配备由学校分管食品安全的校领导（园长）担任的食品安全总监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1191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2.3是否配备1名以上由学校负责食品安全工作人员担任的食品安全员（承包经营或者被委托经营的，学校食堂承包经营单位或者被委托经营单位均应当配备食品安全员。）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2.4结合实际，明确校长（园长）、食品安全总监、食品安全员的岗位职责，细化制定《食品安全总监职责》《食品安全员守则》。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2.5制定食品安全风险管控清单，完善内部管理制度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2.6落实日管控、周排查、月调度管理要求，并要做好相应记录存档备查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3．人员管理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3.1按规定配有专职或兼职食品安全管理人员，未聘用</w:t>
            </w:r>
            <w:r>
              <w:rPr>
                <w:rFonts w:hint="eastAsia"/>
                <w:spacing w:val="-6"/>
                <w:sz w:val="22"/>
                <w:szCs w:val="22"/>
              </w:rPr>
              <w:t>禁聘人员从事食品安全管理工作。按规定取得考核合格证。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3.2建有从业人员培训和健康档案，未安排患有有碍食品安全疾病的人员从事接触直接入口食品的工作。从业人员取得健康证明上岗。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3.3加工经营过程中从业人员个人卫生符合卫生要求。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4．场所环境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4.1加工经营场所内外环境整洁；墙壁、天花板、门窗、地面保持清洁，排水通畅。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4.2消除了老鼠、蟑螂、苍蝇等有害昆虫及其孳生条件。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4.3餐厨废弃物和废弃油脂处置符合要求。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5、病媒防治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5.1堵塞进入室内的供排水、电缆、煤气和空调等管线的墙洞，缝隙小于6mm；食堂穿墙管线及天花板上下行线缆孔洞封闭，门窗缝隙小于6 mm；内连通外界的孔洞，无法填堵的，均应安装防鼠设施。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5.2垃圾容器应不渗不漏，加盖密闭，垃圾日产日清。食堂等室内场所每日清洁卫生，清除地上撒落的各类食品碎屑等物资。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5.3与外环境或市政下水道相通的下水道口，安装竖箅子(金属栏栅)或横箅子，箅子缝隙小于10mm，且无缺损;地漏加盖。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5.4与外界相通的门，缝隙小于6mm;木门和门框的底部包 300 mm高的铁皮;食品库房门口安装600mm 高的挡鼠板。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5.5安装防蝇设施。与外界相通的门安装门帘或风幕机或自动闭合门等;与外界相通的窗安装纱窗，纱窗应完好无损。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rFonts w:hAnsi="宋体" w:cs="宋体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6．设施设备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6.1定期维护食品加工、贮存、陈列等设施设备，能正常运转和使用。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6.2定期清洗、校验、及时清理清洗保温、冷藏和冷冻等设施设备，能正常运转和使用。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6.3用于加工操作的工具、设备无毒无害，标志或区分明显，分开使用，定位存放，用后洗净，保持清洁。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59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6.4接触直接入口食品工具设备使用前消毒。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7．采购与储存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7.1按规定索取、留存、整理供货者的许可证、产品合格证明等文件和进货票据。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7.2如实记录食品原料、食品添加剂、食品相关产品进货和查验记录，记录保存不少于二年。按相关要求如实上传食品追溯信息。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7.3</w:t>
            </w:r>
            <w:r>
              <w:rPr>
                <w:rFonts w:hAnsi="宋体" w:cs="宋体" w:hint="eastAsia"/>
                <w:kern w:val="0"/>
                <w:sz w:val="22"/>
                <w:szCs w:val="22"/>
              </w:rPr>
              <w:t>不采购经营国家及地方法律法规规定的禁止生产经营的食品及原料。中小学、幼儿园食堂不得制售冷荤类食品、生食类食品、裱花蛋糕，不得加工制作四季豆、鲜黄花菜、野生蘑菇、发芽土豆等高风险食品。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7.4保持贮存食品原料的场所、设备清洁；未存放有毒、有害物品及个人生活用品；食品原料分类、分架、隔墙、离地存放于适宜的温度环境内；定期检查、清理变质或超过保质期的食品。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7.5贮存散装食品的位置或容器、外包装上标明食品名称、生产日期、保质期、生产者及联系方式等。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8．加工制作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8.1粗加工水池有标识，植物性和动物性食品分类清洗。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8.2直接入口食品与食品原料、半成品分开存放。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8.3需要熟制加工食品烧熟煮透；需要冷藏的熟制品冷却后及时冷藏。储存设施设备正常运转，储存温度和时间符合要求。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9．餐具安全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9.1餐饮具按要求清洗、消毒和保洁。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lastRenderedPageBreak/>
              <w:t>10．食品添加剂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10.1</w:t>
            </w:r>
            <w:r>
              <w:rPr>
                <w:rFonts w:hint="eastAsia"/>
                <w:spacing w:val="-6"/>
                <w:sz w:val="22"/>
                <w:szCs w:val="22"/>
              </w:rPr>
              <w:t>食品添加剂使用符合相关标准，达到专人采购、专人保管、专人领用、专人登记、专柜保存、备案公示要求。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pacing w:val="-10"/>
                <w:sz w:val="22"/>
                <w:szCs w:val="22"/>
              </w:rPr>
            </w:pPr>
            <w:r>
              <w:rPr>
                <w:rFonts w:hint="eastAsia"/>
                <w:spacing w:val="-10"/>
                <w:sz w:val="22"/>
                <w:szCs w:val="22"/>
              </w:rPr>
              <w:t>11．专间操作卫生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11.1</w:t>
            </w:r>
            <w:r>
              <w:rPr>
                <w:rFonts w:hint="eastAsia"/>
                <w:spacing w:val="-6"/>
                <w:sz w:val="22"/>
                <w:szCs w:val="22"/>
              </w:rPr>
              <w:t>洗手消毒设施、空气消毒设施、空调设施、冷藏设施、净水设施等正常运转。专间温度控制在25℃以下。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11.2专人加工制作，非专间人员不得擅自进入专间。专间内未存放非直接入口食品、未经清洗处理的水果蔬菜、杂物等。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12．食品留样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12.1按规定进行食品留样，留样设备正常运转。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pacing w:val="-10"/>
                <w:sz w:val="22"/>
                <w:szCs w:val="22"/>
              </w:rPr>
              <w:t>13．食品安全管理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13.1中小学、幼儿园应当建立集中用餐陪餐制度。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54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13.2按要求在食品加工处理区安装了视频监控。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405"/>
          <w:jc w:val="center"/>
        </w:trPr>
        <w:tc>
          <w:tcPr>
            <w:tcW w:w="1019" w:type="dxa"/>
            <w:vMerge w:val="restart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14．其他</w:t>
            </w: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rFonts w:hAnsi="宋体" w:cs="宋体"/>
                <w:sz w:val="22"/>
                <w:szCs w:val="22"/>
              </w:rPr>
            </w:pPr>
            <w:r>
              <w:rPr>
                <w:rFonts w:hAnsi="宋体" w:cs="宋体" w:hint="eastAsia"/>
                <w:sz w:val="22"/>
                <w:szCs w:val="22"/>
              </w:rPr>
              <w:t>14.1配备ATP检测仪、阴离子快检试剂盒等快检设备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65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rFonts w:hAnsi="宋体" w:cs="宋体"/>
                <w:sz w:val="22"/>
                <w:szCs w:val="22"/>
              </w:rPr>
            </w:pPr>
            <w:r>
              <w:rPr>
                <w:rFonts w:hAnsi="宋体" w:cs="宋体" w:hint="eastAsia"/>
                <w:sz w:val="22"/>
                <w:szCs w:val="22"/>
              </w:rPr>
              <w:t>14.2落实普陀区区标《学校食堂食品原料采购及管理规范》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375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tabs>
                <w:tab w:val="left" w:pos="1433"/>
              </w:tabs>
              <w:adjustRightInd w:val="0"/>
              <w:snapToGrid w:val="0"/>
              <w:jc w:val="left"/>
              <w:rPr>
                <w:rFonts w:hAnsi="宋体" w:cs="宋体"/>
                <w:sz w:val="22"/>
                <w:szCs w:val="22"/>
              </w:rPr>
            </w:pPr>
            <w:r>
              <w:rPr>
                <w:rFonts w:hAnsi="宋体" w:cs="宋体" w:hint="eastAsia"/>
                <w:sz w:val="22"/>
                <w:szCs w:val="22"/>
              </w:rPr>
              <w:t>14.3开展反浪费宣传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737C" w:rsidTr="00DF737C">
        <w:trPr>
          <w:cantSplit/>
          <w:trHeight w:val="350"/>
          <w:jc w:val="center"/>
        </w:trPr>
        <w:tc>
          <w:tcPr>
            <w:tcW w:w="1019" w:type="dxa"/>
            <w:vMerge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7" w:type="dxa"/>
            <w:vAlign w:val="center"/>
          </w:tcPr>
          <w:p w:rsidR="00DF737C" w:rsidRDefault="00DF737C" w:rsidP="00DF737C">
            <w:pPr>
              <w:adjustRightInd w:val="0"/>
              <w:snapToGrid w:val="0"/>
              <w:rPr>
                <w:rFonts w:hAnsi="宋体" w:cs="宋体"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jc w:val="center"/>
            </w:pPr>
            <w:r w:rsidRPr="00E50594">
              <w:rPr>
                <w:rFonts w:ascii="仿宋" w:eastAsia="仿宋" w:hAnsi="仿宋" w:hint="eastAsia"/>
                <w:sz w:val="22"/>
                <w:szCs w:val="22"/>
              </w:rPr>
              <w:t>√</w:t>
            </w: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93" w:type="dxa"/>
            <w:vAlign w:val="center"/>
          </w:tcPr>
          <w:p w:rsidR="00DF737C" w:rsidRDefault="00DF737C" w:rsidP="00DF737C">
            <w:pPr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84119" w:rsidRDefault="00FA2937">
      <w:pPr>
        <w:adjustRightInd w:val="0"/>
        <w:snapToGrid w:val="0"/>
        <w:spacing w:before="60"/>
        <w:rPr>
          <w:rFonts w:ascii="楷体_GB2312" w:eastAsia="楷体_GB2312"/>
          <w:sz w:val="22"/>
          <w:szCs w:val="22"/>
        </w:rPr>
      </w:pPr>
      <w:r>
        <w:rPr>
          <w:rFonts w:ascii="楷体_GB2312" w:eastAsia="楷体_GB2312" w:hint="eastAsia"/>
          <w:sz w:val="22"/>
          <w:szCs w:val="22"/>
        </w:rPr>
        <w:t>注：第14项“其他”可添加未事先列入表格内容。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7938"/>
      </w:tblGrid>
      <w:tr w:rsidR="00784119">
        <w:trPr>
          <w:cantSplit/>
          <w:trHeight w:val="454"/>
          <w:jc w:val="center"/>
        </w:trPr>
        <w:tc>
          <w:tcPr>
            <w:tcW w:w="907" w:type="dxa"/>
            <w:vAlign w:val="center"/>
          </w:tcPr>
          <w:p w:rsidR="00784119" w:rsidRDefault="00FA2937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7938" w:type="dxa"/>
            <w:vAlign w:val="center"/>
          </w:tcPr>
          <w:p w:rsidR="00784119" w:rsidRDefault="00DF737C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自</w:t>
            </w:r>
            <w:r w:rsidR="00FA2937">
              <w:rPr>
                <w:rFonts w:ascii="黑体" w:eastAsia="黑体" w:hAnsi="黑体" w:hint="eastAsia"/>
                <w:kern w:val="0"/>
                <w:sz w:val="24"/>
                <w:szCs w:val="24"/>
              </w:rPr>
              <w:t>查不符合项目具体内容</w:t>
            </w:r>
          </w:p>
        </w:tc>
      </w:tr>
      <w:tr w:rsidR="00784119">
        <w:trPr>
          <w:cantSplit/>
          <w:trHeight w:val="964"/>
          <w:jc w:val="center"/>
        </w:trPr>
        <w:tc>
          <w:tcPr>
            <w:tcW w:w="907" w:type="dxa"/>
            <w:vAlign w:val="center"/>
          </w:tcPr>
          <w:p w:rsidR="00784119" w:rsidRDefault="00E6482E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hAnsi="宋体"/>
                <w:kern w:val="0"/>
                <w:sz w:val="24"/>
                <w:szCs w:val="24"/>
              </w:rPr>
            </w:pPr>
            <w:r>
              <w:rPr>
                <w:rFonts w:hAnsi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7938" w:type="dxa"/>
            <w:vAlign w:val="center"/>
          </w:tcPr>
          <w:p w:rsidR="00784119" w:rsidRPr="00E6482E" w:rsidRDefault="00405BEF" w:rsidP="00E6482E">
            <w:pPr>
              <w:adjustRightInd w:val="0"/>
              <w:snapToGrid w:val="0"/>
              <w:jc w:val="center"/>
              <w:rPr>
                <w:rFonts w:hAnsi="宋体" w:cs="宋体"/>
                <w:sz w:val="22"/>
                <w:szCs w:val="22"/>
              </w:rPr>
            </w:pPr>
            <w:r>
              <w:rPr>
                <w:rFonts w:hAnsi="宋体" w:cs="宋体" w:hint="eastAsia"/>
                <w:sz w:val="22"/>
                <w:szCs w:val="22"/>
              </w:rPr>
              <w:t>消毒柜密封圈老化</w:t>
            </w:r>
          </w:p>
        </w:tc>
      </w:tr>
      <w:tr w:rsidR="007C4851">
        <w:trPr>
          <w:cantSplit/>
          <w:trHeight w:val="964"/>
          <w:jc w:val="center"/>
        </w:trPr>
        <w:tc>
          <w:tcPr>
            <w:tcW w:w="907" w:type="dxa"/>
            <w:vAlign w:val="center"/>
          </w:tcPr>
          <w:p w:rsidR="007C4851" w:rsidRDefault="00E6482E" w:rsidP="007C4851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hAnsi="宋体"/>
                <w:kern w:val="0"/>
                <w:sz w:val="24"/>
                <w:szCs w:val="24"/>
              </w:rPr>
            </w:pPr>
            <w:r>
              <w:rPr>
                <w:rFonts w:hAnsi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7938" w:type="dxa"/>
            <w:vAlign w:val="center"/>
          </w:tcPr>
          <w:p w:rsidR="007C4851" w:rsidRPr="00E6482E" w:rsidRDefault="00405BEF" w:rsidP="00E6482E">
            <w:pPr>
              <w:adjustRightInd w:val="0"/>
              <w:snapToGrid w:val="0"/>
              <w:jc w:val="center"/>
              <w:rPr>
                <w:rFonts w:hAnsi="宋体" w:cs="宋体"/>
                <w:sz w:val="22"/>
                <w:szCs w:val="22"/>
              </w:rPr>
            </w:pPr>
            <w:r>
              <w:rPr>
                <w:rFonts w:hAnsi="宋体" w:cs="宋体" w:hint="eastAsia"/>
                <w:sz w:val="22"/>
                <w:szCs w:val="22"/>
              </w:rPr>
              <w:t>冰箱温度不达标</w:t>
            </w:r>
          </w:p>
        </w:tc>
      </w:tr>
      <w:tr w:rsidR="007C4851">
        <w:trPr>
          <w:cantSplit/>
          <w:trHeight w:val="964"/>
          <w:jc w:val="center"/>
        </w:trPr>
        <w:tc>
          <w:tcPr>
            <w:tcW w:w="907" w:type="dxa"/>
            <w:vAlign w:val="center"/>
          </w:tcPr>
          <w:p w:rsidR="007C4851" w:rsidRDefault="007C4851" w:rsidP="007C4851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hAnsi="宋体"/>
                <w:kern w:val="0"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7C4851" w:rsidRDefault="00405BEF" w:rsidP="007C48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大灶点火故障</w:t>
            </w:r>
            <w:bookmarkStart w:id="0" w:name="_GoBack"/>
            <w:bookmarkEnd w:id="0"/>
          </w:p>
        </w:tc>
      </w:tr>
      <w:tr w:rsidR="007C4851">
        <w:trPr>
          <w:cantSplit/>
          <w:trHeight w:val="964"/>
          <w:jc w:val="center"/>
        </w:trPr>
        <w:tc>
          <w:tcPr>
            <w:tcW w:w="907" w:type="dxa"/>
            <w:vAlign w:val="center"/>
          </w:tcPr>
          <w:p w:rsidR="007C4851" w:rsidRDefault="007C4851" w:rsidP="007C4851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hAnsi="宋体"/>
                <w:kern w:val="0"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7C4851" w:rsidRDefault="007C4851" w:rsidP="007C485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C4851">
        <w:trPr>
          <w:cantSplit/>
          <w:trHeight w:val="964"/>
          <w:jc w:val="center"/>
        </w:trPr>
        <w:tc>
          <w:tcPr>
            <w:tcW w:w="907" w:type="dxa"/>
            <w:vAlign w:val="center"/>
          </w:tcPr>
          <w:p w:rsidR="007C4851" w:rsidRDefault="007C4851" w:rsidP="007C4851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hAnsi="宋体"/>
                <w:kern w:val="0"/>
                <w:sz w:val="24"/>
                <w:szCs w:val="24"/>
              </w:rPr>
            </w:pPr>
          </w:p>
        </w:tc>
        <w:tc>
          <w:tcPr>
            <w:tcW w:w="7938" w:type="dxa"/>
            <w:vAlign w:val="center"/>
          </w:tcPr>
          <w:p w:rsidR="007C4851" w:rsidRDefault="007C4851" w:rsidP="007C4851">
            <w:pPr>
              <w:tabs>
                <w:tab w:val="left" w:pos="790"/>
                <w:tab w:val="left" w:pos="1264"/>
              </w:tabs>
              <w:overflowPunct w:val="0"/>
              <w:adjustRightInd w:val="0"/>
              <w:snapToGrid w:val="0"/>
              <w:jc w:val="center"/>
              <w:rPr>
                <w:rFonts w:hAnsi="宋体"/>
                <w:kern w:val="0"/>
                <w:sz w:val="24"/>
                <w:szCs w:val="24"/>
              </w:rPr>
            </w:pPr>
          </w:p>
        </w:tc>
      </w:tr>
    </w:tbl>
    <w:p w:rsidR="00FA2937" w:rsidRDefault="00FA2937" w:rsidP="00DF737C">
      <w:pPr>
        <w:tabs>
          <w:tab w:val="left" w:pos="790"/>
          <w:tab w:val="left" w:pos="1264"/>
        </w:tabs>
        <w:overflowPunct w:val="0"/>
        <w:adjustRightInd w:val="0"/>
        <w:snapToGrid w:val="0"/>
        <w:spacing w:line="288" w:lineRule="auto"/>
      </w:pPr>
    </w:p>
    <w:sectPr w:rsidR="00FA293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BC" w:rsidRDefault="00A95EBC" w:rsidP="00DF737C">
      <w:r>
        <w:separator/>
      </w:r>
    </w:p>
  </w:endnote>
  <w:endnote w:type="continuationSeparator" w:id="0">
    <w:p w:rsidR="00A95EBC" w:rsidRDefault="00A95EBC" w:rsidP="00DF7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BC" w:rsidRDefault="00A95EBC" w:rsidP="00DF737C">
      <w:r>
        <w:separator/>
      </w:r>
    </w:p>
  </w:footnote>
  <w:footnote w:type="continuationSeparator" w:id="0">
    <w:p w:rsidR="00A95EBC" w:rsidRDefault="00A95EBC" w:rsidP="00DF7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FE673B"/>
    <w:rsid w:val="7DFE673B"/>
    <w:rsid w:val="FDADC6F2"/>
    <w:rsid w:val="00047D21"/>
    <w:rsid w:val="00055AD5"/>
    <w:rsid w:val="00073B44"/>
    <w:rsid w:val="00164E00"/>
    <w:rsid w:val="00194548"/>
    <w:rsid w:val="001E4257"/>
    <w:rsid w:val="00405BEF"/>
    <w:rsid w:val="0047283D"/>
    <w:rsid w:val="004A7F17"/>
    <w:rsid w:val="0054411B"/>
    <w:rsid w:val="00623189"/>
    <w:rsid w:val="00784119"/>
    <w:rsid w:val="007C4851"/>
    <w:rsid w:val="007C63A6"/>
    <w:rsid w:val="0081080E"/>
    <w:rsid w:val="008356E9"/>
    <w:rsid w:val="00861FA0"/>
    <w:rsid w:val="0088236C"/>
    <w:rsid w:val="008A7E8C"/>
    <w:rsid w:val="008D2E57"/>
    <w:rsid w:val="009227BF"/>
    <w:rsid w:val="00951646"/>
    <w:rsid w:val="009E293E"/>
    <w:rsid w:val="00A2436E"/>
    <w:rsid w:val="00A95EBC"/>
    <w:rsid w:val="00BC5865"/>
    <w:rsid w:val="00D92245"/>
    <w:rsid w:val="00D95407"/>
    <w:rsid w:val="00DF737C"/>
    <w:rsid w:val="00E6482E"/>
    <w:rsid w:val="00EE5F15"/>
    <w:rsid w:val="00EF3D1C"/>
    <w:rsid w:val="00F516B8"/>
    <w:rsid w:val="00FA2937"/>
    <w:rsid w:val="00FB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E804F13"/>
  <w15:chartTrackingRefBased/>
  <w15:docId w15:val="{8AA7E8D6-2CE7-4569-8D64-EDBFE74E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hint="eastAsia"/>
      <w:kern w:val="0"/>
      <w:sz w:val="24"/>
      <w:szCs w:val="24"/>
    </w:rPr>
  </w:style>
  <w:style w:type="paragraph" w:styleId="a3">
    <w:name w:val="header"/>
    <w:basedOn w:val="a"/>
    <w:link w:val="a4"/>
    <w:rsid w:val="00DF73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F737C"/>
    <w:rPr>
      <w:rFonts w:ascii="仿宋_GB2312" w:eastAsia="仿宋_GB2312"/>
      <w:kern w:val="2"/>
      <w:sz w:val="18"/>
      <w:szCs w:val="18"/>
    </w:rPr>
  </w:style>
  <w:style w:type="paragraph" w:styleId="a5">
    <w:name w:val="footer"/>
    <w:basedOn w:val="a"/>
    <w:link w:val="a6"/>
    <w:rsid w:val="00DF73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F737C"/>
    <w:rPr>
      <w:rFonts w:ascii="仿宋_GB2312"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1914</Words>
  <Characters>425</Characters>
  <Application>Microsoft Office Word</Application>
  <DocSecurity>0</DocSecurity>
  <Lines>3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hp</cp:lastModifiedBy>
  <cp:revision>2</cp:revision>
  <dcterms:created xsi:type="dcterms:W3CDTF">2026-09-28T03:30:00Z</dcterms:created>
  <dcterms:modified xsi:type="dcterms:W3CDTF">2026-09-28T03:30:00Z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